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66B" w:rsidRDefault="0027666B" w:rsidP="00527518">
      <w:pPr>
        <w:rPr>
          <w:b/>
          <w:sz w:val="28"/>
          <w:szCs w:val="28"/>
          <w:lang w:val="en-AU"/>
        </w:rPr>
      </w:pPr>
      <w:r>
        <w:rPr>
          <w:b/>
          <w:sz w:val="28"/>
          <w:szCs w:val="28"/>
          <w:lang w:val="en-AU"/>
        </w:rPr>
        <w:t>PIAA Newsletter</w:t>
      </w:r>
    </w:p>
    <w:p w:rsidR="0027666B" w:rsidRDefault="0027666B" w:rsidP="00527518">
      <w:pPr>
        <w:rPr>
          <w:b/>
          <w:sz w:val="28"/>
          <w:szCs w:val="28"/>
          <w:lang w:val="en-AU"/>
        </w:rPr>
      </w:pPr>
    </w:p>
    <w:p w:rsidR="00E9121D" w:rsidRPr="00F84727" w:rsidRDefault="00E9121D" w:rsidP="00527518">
      <w:pPr>
        <w:rPr>
          <w:b/>
          <w:sz w:val="28"/>
          <w:szCs w:val="28"/>
          <w:lang w:val="en-AU"/>
        </w:rPr>
      </w:pPr>
      <w:r w:rsidRPr="00F84727">
        <w:rPr>
          <w:b/>
          <w:sz w:val="28"/>
          <w:szCs w:val="28"/>
          <w:lang w:val="en-AU"/>
        </w:rPr>
        <w:t>Juwai.com reports:</w:t>
      </w:r>
    </w:p>
    <w:p w:rsidR="00E9121D" w:rsidRDefault="00F84727" w:rsidP="00527518">
      <w:pPr>
        <w:rPr>
          <w:lang w:val="en-AU"/>
        </w:rPr>
      </w:pPr>
      <w:r>
        <w:rPr>
          <w:lang w:val="en-AU"/>
        </w:rPr>
        <w:t>Juwai.com</w:t>
      </w:r>
      <w:r w:rsidR="00E9121D">
        <w:rPr>
          <w:lang w:val="en-AU"/>
        </w:rPr>
        <w:t xml:space="preserve"> surveyed 256 Chinese</w:t>
      </w:r>
      <w:r w:rsidR="00E9121D" w:rsidRPr="00E9121D">
        <w:rPr>
          <w:lang w:val="en-AU"/>
        </w:rPr>
        <w:t xml:space="preserve"> from 28 provinces a</w:t>
      </w:r>
      <w:r w:rsidR="0027666B">
        <w:rPr>
          <w:lang w:val="en-AU"/>
        </w:rPr>
        <w:t xml:space="preserve">s well as from </w:t>
      </w:r>
      <w:r w:rsidR="00E9121D">
        <w:rPr>
          <w:lang w:val="en-AU"/>
        </w:rPr>
        <w:t>overseas.    The respondents</w:t>
      </w:r>
      <w:r w:rsidR="00E9121D" w:rsidRPr="00E9121D">
        <w:rPr>
          <w:lang w:val="en-AU"/>
        </w:rPr>
        <w:t xml:space="preserve"> report</w:t>
      </w:r>
      <w:r w:rsidR="00E9121D">
        <w:rPr>
          <w:lang w:val="en-AU"/>
        </w:rPr>
        <w:t>e</w:t>
      </w:r>
      <w:r w:rsidR="00E9121D" w:rsidRPr="00E9121D">
        <w:rPr>
          <w:lang w:val="en-AU"/>
        </w:rPr>
        <w:t>d</w:t>
      </w:r>
      <w:r w:rsidR="00E9121D">
        <w:rPr>
          <w:lang w:val="en-AU"/>
        </w:rPr>
        <w:t xml:space="preserve"> that over</w:t>
      </w:r>
      <w:r w:rsidR="00E9121D" w:rsidRPr="00E9121D">
        <w:rPr>
          <w:lang w:val="en-AU"/>
        </w:rPr>
        <w:t xml:space="preserve"> 90% </w:t>
      </w:r>
      <w:r>
        <w:rPr>
          <w:lang w:val="en-AU"/>
        </w:rPr>
        <w:t xml:space="preserve">were </w:t>
      </w:r>
      <w:r w:rsidR="00E9121D">
        <w:rPr>
          <w:lang w:val="en-AU"/>
        </w:rPr>
        <w:t>plan</w:t>
      </w:r>
      <w:r w:rsidR="0027666B">
        <w:rPr>
          <w:lang w:val="en-AU"/>
        </w:rPr>
        <w:t>n</w:t>
      </w:r>
      <w:r>
        <w:rPr>
          <w:lang w:val="en-AU"/>
        </w:rPr>
        <w:t>ing</w:t>
      </w:r>
      <w:r w:rsidR="00E9121D">
        <w:rPr>
          <w:lang w:val="en-AU"/>
        </w:rPr>
        <w:t xml:space="preserve"> to travel overseas </w:t>
      </w:r>
      <w:r>
        <w:rPr>
          <w:lang w:val="en-AU"/>
        </w:rPr>
        <w:t>in 2018</w:t>
      </w:r>
      <w:r w:rsidR="00E9121D">
        <w:rPr>
          <w:lang w:val="en-AU"/>
        </w:rPr>
        <w:t xml:space="preserve"> and 77% of th</w:t>
      </w:r>
      <w:r>
        <w:rPr>
          <w:lang w:val="en-AU"/>
        </w:rPr>
        <w:t>em would</w:t>
      </w:r>
      <w:r w:rsidR="00E9121D">
        <w:rPr>
          <w:lang w:val="en-AU"/>
        </w:rPr>
        <w:t xml:space="preserve"> consider buying property in the country they visit</w:t>
      </w:r>
      <w:r w:rsidR="0027666B">
        <w:rPr>
          <w:lang w:val="en-AU"/>
        </w:rPr>
        <w:t>ed</w:t>
      </w:r>
      <w:r w:rsidR="00E9121D">
        <w:rPr>
          <w:lang w:val="en-AU"/>
        </w:rPr>
        <w:t>.  The main reason</w:t>
      </w:r>
      <w:r>
        <w:rPr>
          <w:lang w:val="en-AU"/>
        </w:rPr>
        <w:t>s</w:t>
      </w:r>
      <w:r w:rsidR="00E9121D">
        <w:rPr>
          <w:lang w:val="en-AU"/>
        </w:rPr>
        <w:t xml:space="preserve"> for purchasing: living environment, education, healthcare and welfare support. </w:t>
      </w:r>
      <w:r w:rsidR="0027666B">
        <w:rPr>
          <w:lang w:val="en-AU"/>
        </w:rPr>
        <w:t>They</w:t>
      </w:r>
      <w:r w:rsidR="00E9121D">
        <w:rPr>
          <w:lang w:val="en-AU"/>
        </w:rPr>
        <w:t xml:space="preserve"> </w:t>
      </w:r>
      <w:r w:rsidR="0027666B">
        <w:rPr>
          <w:lang w:val="en-AU"/>
        </w:rPr>
        <w:t>are</w:t>
      </w:r>
      <w:r w:rsidR="00E9121D">
        <w:rPr>
          <w:lang w:val="en-AU"/>
        </w:rPr>
        <w:t xml:space="preserve"> buying for </w:t>
      </w:r>
      <w:r w:rsidR="0027666B">
        <w:rPr>
          <w:lang w:val="en-AU"/>
        </w:rPr>
        <w:t xml:space="preserve">healthy </w:t>
      </w:r>
      <w:r w:rsidR="00E9121D">
        <w:rPr>
          <w:lang w:val="en-AU"/>
        </w:rPr>
        <w:t xml:space="preserve">retirement living. </w:t>
      </w:r>
    </w:p>
    <w:p w:rsidR="00E9121D" w:rsidRDefault="00E9121D" w:rsidP="00527518">
      <w:pPr>
        <w:rPr>
          <w:lang w:val="en-AU"/>
        </w:rPr>
      </w:pPr>
    </w:p>
    <w:p w:rsidR="00E9121D" w:rsidRDefault="00E9121D" w:rsidP="00E9121D">
      <w:pPr>
        <w:widowControl w:val="0"/>
        <w:autoSpaceDE w:val="0"/>
        <w:autoSpaceDN w:val="0"/>
        <w:adjustRightInd w:val="0"/>
        <w:rPr>
          <w:lang w:val="en-AU"/>
        </w:rPr>
      </w:pPr>
      <w:r w:rsidRPr="00E9121D">
        <w:rPr>
          <w:lang w:val="en-AU"/>
        </w:rPr>
        <w:t>According to China Outbound Tourism Research Institute and China Tourism Academy, the nu</w:t>
      </w:r>
      <w:r w:rsidR="0027666B">
        <w:rPr>
          <w:lang w:val="en-AU"/>
        </w:rPr>
        <w:t>mber of China’s outbound travell</w:t>
      </w:r>
      <w:r w:rsidRPr="00E9121D">
        <w:rPr>
          <w:lang w:val="en-AU"/>
        </w:rPr>
        <w:t>ers will rise from over 122 million in 2016 to hit 154 million this year in 2018, and reach 200 million by 2020.</w:t>
      </w:r>
      <w:r w:rsidRPr="00E9121D">
        <w:rPr>
          <w:lang w:val="en-AU"/>
        </w:rPr>
        <w:t xml:space="preserve"> </w:t>
      </w:r>
      <w:r w:rsidRPr="00E9121D">
        <w:rPr>
          <w:lang w:val="en-AU"/>
        </w:rPr>
        <w:drawing>
          <wp:inline distT="0" distB="0" distL="0" distR="0" wp14:anchorId="25319EF8" wp14:editId="62828576">
            <wp:extent cx="10160" cy="101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" cy="1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121D" w:rsidRDefault="00E9121D" w:rsidP="00E9121D">
      <w:pPr>
        <w:widowControl w:val="0"/>
        <w:autoSpaceDE w:val="0"/>
        <w:autoSpaceDN w:val="0"/>
        <w:adjustRightInd w:val="0"/>
        <w:rPr>
          <w:lang w:val="en-AU"/>
        </w:rPr>
      </w:pPr>
    </w:p>
    <w:p w:rsidR="00E9121D" w:rsidRDefault="00F84727" w:rsidP="00E9121D">
      <w:pPr>
        <w:widowControl w:val="0"/>
        <w:autoSpaceDE w:val="0"/>
        <w:autoSpaceDN w:val="0"/>
        <w:adjustRightInd w:val="0"/>
        <w:rPr>
          <w:lang w:val="en-AU"/>
        </w:rPr>
      </w:pPr>
      <w:r>
        <w:rPr>
          <w:lang w:val="en-AU"/>
        </w:rPr>
        <w:t>As a bonus, h</w:t>
      </w:r>
      <w:r w:rsidR="00E9121D">
        <w:rPr>
          <w:lang w:val="en-AU"/>
        </w:rPr>
        <w:t>ere are their top ten stories for the year 2017.</w:t>
      </w:r>
    </w:p>
    <w:p w:rsidR="00E9121D" w:rsidRPr="0027666B" w:rsidRDefault="00F84727" w:rsidP="00E9121D">
      <w:pPr>
        <w:widowControl w:val="0"/>
        <w:autoSpaceDE w:val="0"/>
        <w:autoSpaceDN w:val="0"/>
        <w:adjustRightInd w:val="0"/>
        <w:rPr>
          <w:sz w:val="10"/>
          <w:szCs w:val="10"/>
          <w:lang w:val="en-AU"/>
        </w:rPr>
      </w:pPr>
      <w:hyperlink r:id="rId8" w:history="1">
        <w:r w:rsidRPr="0027666B">
          <w:rPr>
            <w:rStyle w:val="Hyperlink"/>
            <w:sz w:val="10"/>
            <w:szCs w:val="10"/>
            <w:lang w:val="en-AU"/>
          </w:rPr>
          <w:t>https://list.juwai.com/news/2017/12/year-in-review-juwai-top-stories-of-2017?&amp;utm_source=EmarsysEDM&amp;utm_medium=email&amp;utm_campaign=2017+December+Newsletter+%28Industry%29+%E2%80%93+Part+1&amp;utm_content=NiHao+2017.12-Part1%3A+https%3A%2F%2Flist.juwai.com%2Fnews%2F2017%2F12%2Fyear-in-review-juwai-top-stories-of-2017</w:t>
        </w:r>
      </w:hyperlink>
    </w:p>
    <w:p w:rsidR="00F84727" w:rsidRDefault="00F84727" w:rsidP="00E9121D">
      <w:pPr>
        <w:widowControl w:val="0"/>
        <w:autoSpaceDE w:val="0"/>
        <w:autoSpaceDN w:val="0"/>
        <w:adjustRightInd w:val="0"/>
        <w:rPr>
          <w:sz w:val="18"/>
          <w:szCs w:val="18"/>
          <w:lang w:val="en-AU"/>
        </w:rPr>
      </w:pPr>
    </w:p>
    <w:p w:rsidR="00F84727" w:rsidRDefault="00F84727" w:rsidP="00F84727">
      <w:pPr>
        <w:rPr>
          <w:b/>
          <w:sz w:val="28"/>
          <w:szCs w:val="28"/>
          <w:lang w:val="en-AU"/>
        </w:rPr>
      </w:pPr>
      <w:r>
        <w:rPr>
          <w:sz w:val="18"/>
          <w:szCs w:val="18"/>
          <w:lang w:val="en-AU"/>
        </w:rPr>
        <w:br/>
      </w:r>
      <w:r w:rsidRPr="00F84727">
        <w:rPr>
          <w:b/>
          <w:sz w:val="28"/>
          <w:szCs w:val="28"/>
          <w:lang w:val="en-AU"/>
        </w:rPr>
        <w:t>The ABC</w:t>
      </w:r>
    </w:p>
    <w:p w:rsidR="00F84727" w:rsidRPr="00F84727" w:rsidRDefault="00F84727" w:rsidP="00F84727">
      <w:pPr>
        <w:widowControl w:val="0"/>
        <w:autoSpaceDE w:val="0"/>
        <w:autoSpaceDN w:val="0"/>
        <w:adjustRightInd w:val="0"/>
        <w:rPr>
          <w:lang w:val="en-AU"/>
        </w:rPr>
      </w:pPr>
      <w:r w:rsidRPr="00F84727">
        <w:rPr>
          <w:lang w:val="en-AU"/>
        </w:rPr>
        <w:t>“Real estate sales companies are using big commissions to tempt mortgage brokers, financial planners and accountants to sell overpriced properties to unsuspecting clients.”</w:t>
      </w:r>
    </w:p>
    <w:p w:rsidR="00F84727" w:rsidRPr="00F84727" w:rsidRDefault="00F84727" w:rsidP="00F84727">
      <w:pPr>
        <w:widowControl w:val="0"/>
        <w:autoSpaceDE w:val="0"/>
        <w:autoSpaceDN w:val="0"/>
        <w:adjustRightInd w:val="0"/>
        <w:rPr>
          <w:lang w:val="en-AU"/>
        </w:rPr>
      </w:pPr>
    </w:p>
    <w:p w:rsidR="00F84727" w:rsidRDefault="0027666B" w:rsidP="00F84727">
      <w:pPr>
        <w:widowControl w:val="0"/>
        <w:autoSpaceDE w:val="0"/>
        <w:autoSpaceDN w:val="0"/>
        <w:adjustRightInd w:val="0"/>
        <w:rPr>
          <w:lang w:val="en-AU"/>
        </w:rPr>
      </w:pPr>
      <w:r>
        <w:rPr>
          <w:lang w:val="en-AU"/>
        </w:rPr>
        <w:t>The ABC</w:t>
      </w:r>
      <w:r w:rsidR="00F84727">
        <w:rPr>
          <w:lang w:val="en-AU"/>
        </w:rPr>
        <w:t xml:space="preserve"> reported </w:t>
      </w:r>
      <w:r>
        <w:rPr>
          <w:lang w:val="en-AU"/>
        </w:rPr>
        <w:t xml:space="preserve">that </w:t>
      </w:r>
      <w:r w:rsidR="00F84727">
        <w:rPr>
          <w:lang w:val="en-AU"/>
        </w:rPr>
        <w:t xml:space="preserve">fees </w:t>
      </w:r>
      <w:r>
        <w:rPr>
          <w:lang w:val="en-AU"/>
        </w:rPr>
        <w:t xml:space="preserve">were </w:t>
      </w:r>
      <w:r w:rsidR="00F84727">
        <w:rPr>
          <w:lang w:val="en-AU"/>
        </w:rPr>
        <w:t xml:space="preserve">being offered by developers up to 10 and 15% as they seek to move </w:t>
      </w:r>
      <w:r>
        <w:rPr>
          <w:lang w:val="en-AU"/>
        </w:rPr>
        <w:t xml:space="preserve">their </w:t>
      </w:r>
      <w:r w:rsidR="00F84727">
        <w:rPr>
          <w:lang w:val="en-AU"/>
        </w:rPr>
        <w:t>stock in markets with gluts.</w:t>
      </w:r>
      <w:r>
        <w:rPr>
          <w:lang w:val="en-AU"/>
        </w:rPr>
        <w:t xml:space="preserve">  </w:t>
      </w:r>
      <w:r w:rsidR="00F84727">
        <w:rPr>
          <w:lang w:val="en-AU"/>
        </w:rPr>
        <w:t xml:space="preserve">It also </w:t>
      </w:r>
      <w:r>
        <w:rPr>
          <w:lang w:val="en-AU"/>
        </w:rPr>
        <w:t xml:space="preserve">mentioned and sought to </w:t>
      </w:r>
      <w:r w:rsidR="00F84727">
        <w:rPr>
          <w:lang w:val="en-AU"/>
        </w:rPr>
        <w:t>ex</w:t>
      </w:r>
      <w:r>
        <w:rPr>
          <w:lang w:val="en-AU"/>
        </w:rPr>
        <w:t>plore</w:t>
      </w:r>
      <w:r w:rsidR="00F84727">
        <w:rPr>
          <w:lang w:val="en-AU"/>
        </w:rPr>
        <w:t xml:space="preserve"> the relationship between Mortgage Choice and Blue Wealth.  </w:t>
      </w:r>
      <w:r>
        <w:rPr>
          <w:lang w:val="en-AU"/>
        </w:rPr>
        <w:t>Neither were prepared to comment.</w:t>
      </w:r>
    </w:p>
    <w:p w:rsidR="00F84727" w:rsidRDefault="00F84727" w:rsidP="00F84727">
      <w:pPr>
        <w:widowControl w:val="0"/>
        <w:autoSpaceDE w:val="0"/>
        <w:autoSpaceDN w:val="0"/>
        <w:adjustRightInd w:val="0"/>
        <w:rPr>
          <w:lang w:val="en-AU"/>
        </w:rPr>
      </w:pPr>
    </w:p>
    <w:p w:rsidR="00F84727" w:rsidRDefault="00F84727" w:rsidP="00F84727">
      <w:pPr>
        <w:widowControl w:val="0"/>
        <w:autoSpaceDE w:val="0"/>
        <w:autoSpaceDN w:val="0"/>
        <w:adjustRightInd w:val="0"/>
        <w:rPr>
          <w:lang w:val="en-AU"/>
        </w:rPr>
      </w:pPr>
      <w:r w:rsidRPr="00F84727">
        <w:rPr>
          <w:lang w:val="en-AU"/>
        </w:rPr>
        <w:t>“The Real Estate Institute of Australia (REIA) said it has been "ferociously lobbying" both the federal and state governments to impose more regulation on this type of property sales tactic.”</w:t>
      </w:r>
    </w:p>
    <w:p w:rsidR="00F84727" w:rsidRDefault="00F84727" w:rsidP="00F84727">
      <w:pPr>
        <w:widowControl w:val="0"/>
        <w:autoSpaceDE w:val="0"/>
        <w:autoSpaceDN w:val="0"/>
        <w:adjustRightInd w:val="0"/>
        <w:rPr>
          <w:lang w:val="en-AU"/>
        </w:rPr>
      </w:pPr>
      <w:r>
        <w:rPr>
          <w:lang w:val="en-AU"/>
        </w:rPr>
        <w:br/>
      </w:r>
      <w:r w:rsidR="0027666B">
        <w:rPr>
          <w:lang w:val="en-AU"/>
        </w:rPr>
        <w:t xml:space="preserve">Didn’t touch on </w:t>
      </w:r>
      <w:r>
        <w:rPr>
          <w:lang w:val="en-AU"/>
        </w:rPr>
        <w:t>property investment advice</w:t>
      </w:r>
      <w:r w:rsidR="0027666B">
        <w:rPr>
          <w:lang w:val="en-AU"/>
        </w:rPr>
        <w:t xml:space="preserve"> which</w:t>
      </w:r>
      <w:r>
        <w:rPr>
          <w:lang w:val="en-AU"/>
        </w:rPr>
        <w:t xml:space="preserve"> is given in writing, with client’s best interests business standards and factual property information to support informed decisions.</w:t>
      </w:r>
    </w:p>
    <w:p w:rsidR="00F84727" w:rsidRPr="00F84727" w:rsidRDefault="00F84727" w:rsidP="00F84727">
      <w:pPr>
        <w:widowControl w:val="0"/>
        <w:autoSpaceDE w:val="0"/>
        <w:autoSpaceDN w:val="0"/>
        <w:adjustRightInd w:val="0"/>
        <w:rPr>
          <w:lang w:val="en-AU"/>
        </w:rPr>
      </w:pPr>
      <w:r>
        <w:rPr>
          <w:lang w:val="en-AU"/>
        </w:rPr>
        <w:t>Read the full article here.</w:t>
      </w:r>
    </w:p>
    <w:p w:rsidR="00F84727" w:rsidRPr="00E9121D" w:rsidRDefault="00F84727" w:rsidP="00E9121D">
      <w:pPr>
        <w:widowControl w:val="0"/>
        <w:autoSpaceDE w:val="0"/>
        <w:autoSpaceDN w:val="0"/>
        <w:adjustRightInd w:val="0"/>
        <w:rPr>
          <w:sz w:val="18"/>
          <w:szCs w:val="18"/>
          <w:lang w:val="en-AU"/>
        </w:rPr>
      </w:pPr>
      <w:r w:rsidRPr="00F84727">
        <w:rPr>
          <w:sz w:val="18"/>
          <w:szCs w:val="18"/>
          <w:lang w:val="en-AU"/>
        </w:rPr>
        <w:t>http://www.abc.net.au/news/2018-02-01/property-investment-spruikers-paying-mortgage-brokers-financial/9380602</w:t>
      </w:r>
    </w:p>
    <w:p w:rsidR="00E9121D" w:rsidRDefault="00E9121D" w:rsidP="00E9121D">
      <w:pPr>
        <w:widowControl w:val="0"/>
        <w:autoSpaceDE w:val="0"/>
        <w:autoSpaceDN w:val="0"/>
        <w:adjustRightInd w:val="0"/>
        <w:rPr>
          <w:lang w:val="en-AU"/>
        </w:rPr>
      </w:pPr>
    </w:p>
    <w:p w:rsidR="0027666B" w:rsidRDefault="0027666B" w:rsidP="00E9121D">
      <w:pPr>
        <w:widowControl w:val="0"/>
        <w:autoSpaceDE w:val="0"/>
        <w:autoSpaceDN w:val="0"/>
        <w:adjustRightInd w:val="0"/>
        <w:rPr>
          <w:lang w:val="en-AU"/>
        </w:rPr>
      </w:pPr>
    </w:p>
    <w:p w:rsidR="00F84727" w:rsidRPr="00F84727" w:rsidRDefault="00F84727" w:rsidP="00F84727">
      <w:pPr>
        <w:rPr>
          <w:b/>
          <w:sz w:val="28"/>
          <w:szCs w:val="28"/>
          <w:lang w:val="en-AU"/>
        </w:rPr>
      </w:pPr>
      <w:r w:rsidRPr="00F84727">
        <w:rPr>
          <w:b/>
          <w:sz w:val="28"/>
          <w:szCs w:val="28"/>
          <w:lang w:val="en-AU"/>
        </w:rPr>
        <w:t>APRA boosting bank profits?</w:t>
      </w:r>
    </w:p>
    <w:p w:rsidR="00E9121D" w:rsidRDefault="00F84727" w:rsidP="00E9121D">
      <w:pPr>
        <w:widowControl w:val="0"/>
        <w:autoSpaceDE w:val="0"/>
        <w:autoSpaceDN w:val="0"/>
        <w:adjustRightInd w:val="0"/>
        <w:rPr>
          <w:lang w:val="en-AU"/>
        </w:rPr>
      </w:pPr>
      <w:r>
        <w:rPr>
          <w:lang w:val="en-AU"/>
        </w:rPr>
        <w:t>The productivity commission has reported that the APRA drive to reduce interest only loans cost Australian tax payers $500M over the year in higher interest payments, less competition and that these funds boosted bank profits</w:t>
      </w:r>
      <w:r>
        <w:rPr>
          <w:rStyle w:val="FootnoteReference"/>
          <w:lang w:val="en-AU"/>
        </w:rPr>
        <w:footnoteReference w:id="1"/>
      </w:r>
      <w:r>
        <w:rPr>
          <w:lang w:val="en-AU"/>
        </w:rPr>
        <w:t xml:space="preserve">.  </w:t>
      </w:r>
      <w:r w:rsidR="0027666B">
        <w:rPr>
          <w:lang w:val="en-AU"/>
        </w:rPr>
        <w:t>The ACCC is investigating.</w:t>
      </w:r>
    </w:p>
    <w:p w:rsidR="00F84727" w:rsidRDefault="00F84727" w:rsidP="00E9121D">
      <w:pPr>
        <w:widowControl w:val="0"/>
        <w:autoSpaceDE w:val="0"/>
        <w:autoSpaceDN w:val="0"/>
        <w:adjustRightInd w:val="0"/>
        <w:rPr>
          <w:lang w:val="en-AU"/>
        </w:rPr>
      </w:pPr>
    </w:p>
    <w:p w:rsidR="00F84727" w:rsidRPr="0027666B" w:rsidRDefault="00F84727" w:rsidP="0027666B">
      <w:pPr>
        <w:rPr>
          <w:b/>
          <w:sz w:val="28"/>
          <w:szCs w:val="28"/>
          <w:lang w:val="en-AU"/>
        </w:rPr>
      </w:pPr>
      <w:r w:rsidRPr="0027666B">
        <w:rPr>
          <w:b/>
          <w:sz w:val="28"/>
          <w:szCs w:val="28"/>
          <w:lang w:val="en-AU"/>
        </w:rPr>
        <w:t>PIAA courses</w:t>
      </w:r>
    </w:p>
    <w:p w:rsidR="00F84727" w:rsidRDefault="0027666B" w:rsidP="00E9121D">
      <w:pPr>
        <w:widowControl w:val="0"/>
        <w:autoSpaceDE w:val="0"/>
        <w:autoSpaceDN w:val="0"/>
        <w:adjustRightInd w:val="0"/>
        <w:rPr>
          <w:lang w:val="en-AU"/>
        </w:rPr>
      </w:pPr>
      <w:r>
        <w:rPr>
          <w:lang w:val="en-AU"/>
        </w:rPr>
        <w:br/>
        <w:t>We have courses planned for:</w:t>
      </w:r>
    </w:p>
    <w:p w:rsidR="00F84727" w:rsidRDefault="00F84727" w:rsidP="00E9121D">
      <w:pPr>
        <w:widowControl w:val="0"/>
        <w:autoSpaceDE w:val="0"/>
        <w:autoSpaceDN w:val="0"/>
        <w:adjustRightInd w:val="0"/>
        <w:rPr>
          <w:lang w:val="en-AU"/>
        </w:rPr>
      </w:pPr>
    </w:p>
    <w:p w:rsidR="00F84727" w:rsidRDefault="000C7D6A" w:rsidP="00E9121D">
      <w:pPr>
        <w:widowControl w:val="0"/>
        <w:autoSpaceDE w:val="0"/>
        <w:autoSpaceDN w:val="0"/>
        <w:adjustRightInd w:val="0"/>
        <w:rPr>
          <w:lang w:val="en-AU"/>
        </w:rPr>
      </w:pPr>
      <w:r>
        <w:rPr>
          <w:lang w:val="en-AU"/>
        </w:rPr>
        <w:t xml:space="preserve">Sydney:  </w:t>
      </w:r>
      <w:r>
        <w:rPr>
          <w:lang w:val="en-AU"/>
        </w:rPr>
        <w:tab/>
        <w:t>1</w:t>
      </w:r>
      <w:r w:rsidRPr="000C7D6A">
        <w:rPr>
          <w:vertAlign w:val="superscript"/>
          <w:lang w:val="en-AU"/>
        </w:rPr>
        <w:t>st</w:t>
      </w:r>
      <w:r>
        <w:rPr>
          <w:lang w:val="en-AU"/>
        </w:rPr>
        <w:t xml:space="preserve"> and 2</w:t>
      </w:r>
      <w:r w:rsidRPr="000C7D6A">
        <w:rPr>
          <w:vertAlign w:val="superscript"/>
          <w:lang w:val="en-AU"/>
        </w:rPr>
        <w:t>nd</w:t>
      </w:r>
      <w:r>
        <w:rPr>
          <w:lang w:val="en-AU"/>
        </w:rPr>
        <w:t xml:space="preserve"> plus 15</w:t>
      </w:r>
      <w:r w:rsidRPr="000C7D6A">
        <w:rPr>
          <w:vertAlign w:val="superscript"/>
          <w:lang w:val="en-AU"/>
        </w:rPr>
        <w:t>th</w:t>
      </w:r>
      <w:r>
        <w:rPr>
          <w:lang w:val="en-AU"/>
        </w:rPr>
        <w:t xml:space="preserve"> and 16</w:t>
      </w:r>
      <w:r w:rsidRPr="000C7D6A">
        <w:rPr>
          <w:vertAlign w:val="superscript"/>
          <w:lang w:val="en-AU"/>
        </w:rPr>
        <w:t>th</w:t>
      </w:r>
      <w:r>
        <w:rPr>
          <w:lang w:val="en-AU"/>
        </w:rPr>
        <w:t xml:space="preserve"> March </w:t>
      </w:r>
    </w:p>
    <w:p w:rsidR="000C7D6A" w:rsidRDefault="000C7D6A" w:rsidP="00E9121D">
      <w:pPr>
        <w:widowControl w:val="0"/>
        <w:autoSpaceDE w:val="0"/>
        <w:autoSpaceDN w:val="0"/>
        <w:adjustRightInd w:val="0"/>
        <w:rPr>
          <w:lang w:val="en-AU"/>
        </w:rPr>
      </w:pPr>
      <w:r>
        <w:rPr>
          <w:lang w:val="en-AU"/>
        </w:rPr>
        <w:t xml:space="preserve">Melbourne </w:t>
      </w:r>
      <w:r>
        <w:rPr>
          <w:lang w:val="en-AU"/>
        </w:rPr>
        <w:tab/>
        <w:t>2</w:t>
      </w:r>
      <w:r w:rsidRPr="000C7D6A">
        <w:rPr>
          <w:vertAlign w:val="superscript"/>
          <w:lang w:val="en-AU"/>
        </w:rPr>
        <w:t>nd</w:t>
      </w:r>
      <w:r>
        <w:rPr>
          <w:lang w:val="en-AU"/>
        </w:rPr>
        <w:t>, 3</w:t>
      </w:r>
      <w:r w:rsidRPr="000C7D6A">
        <w:rPr>
          <w:vertAlign w:val="superscript"/>
          <w:lang w:val="en-AU"/>
        </w:rPr>
        <w:t>rd</w:t>
      </w:r>
      <w:r>
        <w:rPr>
          <w:lang w:val="en-AU"/>
        </w:rPr>
        <w:t xml:space="preserve"> and 4</w:t>
      </w:r>
      <w:r w:rsidRPr="000C7D6A">
        <w:rPr>
          <w:vertAlign w:val="superscript"/>
          <w:lang w:val="en-AU"/>
        </w:rPr>
        <w:t>th</w:t>
      </w:r>
      <w:r>
        <w:rPr>
          <w:lang w:val="en-AU"/>
        </w:rPr>
        <w:t xml:space="preserve"> May plus one day by virtual connection.  </w:t>
      </w:r>
    </w:p>
    <w:p w:rsidR="000C7D6A" w:rsidRDefault="000C7D6A" w:rsidP="00E9121D">
      <w:pPr>
        <w:widowControl w:val="0"/>
        <w:autoSpaceDE w:val="0"/>
        <w:autoSpaceDN w:val="0"/>
        <w:adjustRightInd w:val="0"/>
        <w:rPr>
          <w:lang w:val="en-AU"/>
        </w:rPr>
      </w:pPr>
      <w:r>
        <w:rPr>
          <w:lang w:val="en-AU"/>
        </w:rPr>
        <w:t>SE QLD:</w:t>
      </w:r>
      <w:r>
        <w:rPr>
          <w:lang w:val="en-AU"/>
        </w:rPr>
        <w:tab/>
      </w:r>
      <w:r w:rsidR="00A01B99">
        <w:rPr>
          <w:lang w:val="en-AU"/>
        </w:rPr>
        <w:tab/>
        <w:t>21</w:t>
      </w:r>
      <w:r w:rsidR="00A01B99" w:rsidRPr="00A01B99">
        <w:rPr>
          <w:vertAlign w:val="superscript"/>
          <w:lang w:val="en-AU"/>
        </w:rPr>
        <w:t>st</w:t>
      </w:r>
      <w:r w:rsidR="00A01B99">
        <w:rPr>
          <w:lang w:val="en-AU"/>
        </w:rPr>
        <w:t>, 22</w:t>
      </w:r>
      <w:r w:rsidR="00A01B99" w:rsidRPr="00A01B99">
        <w:rPr>
          <w:vertAlign w:val="superscript"/>
          <w:lang w:val="en-AU"/>
        </w:rPr>
        <w:t>nd</w:t>
      </w:r>
      <w:r w:rsidR="00A01B99">
        <w:rPr>
          <w:lang w:val="en-AU"/>
        </w:rPr>
        <w:t>, and 23</w:t>
      </w:r>
      <w:r w:rsidR="00A01B99" w:rsidRPr="00A01B99">
        <w:rPr>
          <w:vertAlign w:val="superscript"/>
          <w:lang w:val="en-AU"/>
        </w:rPr>
        <w:t>rd</w:t>
      </w:r>
      <w:r w:rsidR="00A01B99">
        <w:rPr>
          <w:lang w:val="en-AU"/>
        </w:rPr>
        <w:t xml:space="preserve"> April</w:t>
      </w:r>
      <w:r>
        <w:rPr>
          <w:lang w:val="en-AU"/>
        </w:rPr>
        <w:tab/>
      </w:r>
      <w:r w:rsidR="00A01B99">
        <w:rPr>
          <w:lang w:val="en-AU"/>
        </w:rPr>
        <w:t>plus one day by virtual connection</w:t>
      </w:r>
    </w:p>
    <w:p w:rsidR="00A01B99" w:rsidRDefault="00A01B99" w:rsidP="00E9121D">
      <w:pPr>
        <w:widowControl w:val="0"/>
        <w:autoSpaceDE w:val="0"/>
        <w:autoSpaceDN w:val="0"/>
        <w:adjustRightInd w:val="0"/>
        <w:rPr>
          <w:lang w:val="en-AU"/>
        </w:rPr>
      </w:pPr>
    </w:p>
    <w:p w:rsidR="00A01B99" w:rsidRDefault="00A01B99" w:rsidP="00E9121D">
      <w:pPr>
        <w:widowControl w:val="0"/>
        <w:autoSpaceDE w:val="0"/>
        <w:autoSpaceDN w:val="0"/>
        <w:adjustRightInd w:val="0"/>
        <w:rPr>
          <w:lang w:val="en-AU"/>
        </w:rPr>
      </w:pPr>
      <w:r>
        <w:rPr>
          <w:lang w:val="en-AU"/>
        </w:rPr>
        <w:t>Please contact me if you would like to know more.</w:t>
      </w:r>
    </w:p>
    <w:p w:rsidR="0027666B" w:rsidRDefault="0027666B" w:rsidP="00527518">
      <w:pPr>
        <w:rPr>
          <w:lang w:val="en-AU"/>
        </w:rPr>
      </w:pPr>
    </w:p>
    <w:p w:rsidR="00527518" w:rsidRPr="00F84727" w:rsidRDefault="001A368D" w:rsidP="00527518">
      <w:pPr>
        <w:rPr>
          <w:b/>
          <w:sz w:val="28"/>
          <w:szCs w:val="28"/>
          <w:lang w:val="en-AU"/>
        </w:rPr>
      </w:pPr>
      <w:r w:rsidRPr="00F84727">
        <w:rPr>
          <w:b/>
          <w:sz w:val="28"/>
          <w:szCs w:val="28"/>
          <w:lang w:val="en-AU"/>
        </w:rPr>
        <w:lastRenderedPageBreak/>
        <w:t>Update on Lithium in Australia</w:t>
      </w:r>
      <w:r w:rsidR="00E36F5B" w:rsidRPr="00F84727">
        <w:rPr>
          <w:b/>
          <w:sz w:val="28"/>
          <w:szCs w:val="28"/>
          <w:lang w:val="en-AU"/>
        </w:rPr>
        <w:t xml:space="preserve"> – will this drive WA economy.</w:t>
      </w:r>
    </w:p>
    <w:p w:rsidR="00527518" w:rsidRDefault="00527518">
      <w:pPr>
        <w:rPr>
          <w:b/>
          <w:lang w:val="en-AU"/>
        </w:rPr>
      </w:pPr>
    </w:p>
    <w:p w:rsidR="00527518" w:rsidRDefault="00527518">
      <w:pPr>
        <w:rPr>
          <w:lang w:val="en-AU"/>
        </w:rPr>
      </w:pPr>
      <w:r w:rsidRPr="00527518">
        <w:rPr>
          <w:lang w:val="en-AU"/>
        </w:rPr>
        <w:t xml:space="preserve">Lithium </w:t>
      </w:r>
      <w:r w:rsidR="00E91D2D">
        <w:rPr>
          <w:lang w:val="en-AU"/>
        </w:rPr>
        <w:t xml:space="preserve">demand </w:t>
      </w:r>
      <w:r w:rsidRPr="00527518">
        <w:rPr>
          <w:lang w:val="en-AU"/>
        </w:rPr>
        <w:t xml:space="preserve">is </w:t>
      </w:r>
      <w:r>
        <w:rPr>
          <w:lang w:val="en-AU"/>
        </w:rPr>
        <w:t xml:space="preserve">set for a meteoric rise </w:t>
      </w:r>
      <w:r w:rsidR="00E91D2D">
        <w:rPr>
          <w:lang w:val="en-AU"/>
        </w:rPr>
        <w:t xml:space="preserve">based </w:t>
      </w:r>
      <w:r w:rsidR="0027666B">
        <w:rPr>
          <w:lang w:val="en-AU"/>
        </w:rPr>
        <w:t xml:space="preserve">on </w:t>
      </w:r>
      <w:r w:rsidR="00E91D2D">
        <w:rPr>
          <w:lang w:val="en-AU"/>
        </w:rPr>
        <w:t xml:space="preserve">international Government Policy driving </w:t>
      </w:r>
      <w:r>
        <w:rPr>
          <w:lang w:val="en-AU"/>
        </w:rPr>
        <w:t>its use in batteries to stabl</w:t>
      </w:r>
      <w:r w:rsidR="00E91D2D">
        <w:rPr>
          <w:lang w:val="en-AU"/>
        </w:rPr>
        <w:t xml:space="preserve">ise </w:t>
      </w:r>
      <w:r w:rsidR="00E9121D">
        <w:rPr>
          <w:lang w:val="en-AU"/>
        </w:rPr>
        <w:t xml:space="preserve">the use of </w:t>
      </w:r>
      <w:r w:rsidR="00E91D2D">
        <w:rPr>
          <w:lang w:val="en-AU"/>
        </w:rPr>
        <w:t>renewable sources of</w:t>
      </w:r>
      <w:r>
        <w:rPr>
          <w:lang w:val="en-AU"/>
        </w:rPr>
        <w:t xml:space="preserve"> elect</w:t>
      </w:r>
      <w:r w:rsidR="00E36F5B">
        <w:rPr>
          <w:lang w:val="en-AU"/>
        </w:rPr>
        <w:t>r</w:t>
      </w:r>
      <w:r>
        <w:rPr>
          <w:lang w:val="en-AU"/>
        </w:rPr>
        <w:t xml:space="preserve">icity </w:t>
      </w:r>
      <w:r w:rsidR="00E36F5B">
        <w:rPr>
          <w:lang w:val="en-AU"/>
        </w:rPr>
        <w:t>in</w:t>
      </w:r>
      <w:r w:rsidR="00E91D2D">
        <w:rPr>
          <w:lang w:val="en-AU"/>
        </w:rPr>
        <w:t xml:space="preserve"> the </w:t>
      </w:r>
      <w:r>
        <w:rPr>
          <w:lang w:val="en-AU"/>
        </w:rPr>
        <w:t>grid</w:t>
      </w:r>
      <w:r w:rsidR="00E91D2D">
        <w:rPr>
          <w:lang w:val="en-AU"/>
        </w:rPr>
        <w:t xml:space="preserve">; </w:t>
      </w:r>
      <w:r>
        <w:rPr>
          <w:lang w:val="en-AU"/>
        </w:rPr>
        <w:t>and</w:t>
      </w:r>
      <w:r w:rsidR="00E91D2D">
        <w:rPr>
          <w:lang w:val="en-AU"/>
        </w:rPr>
        <w:t>,</w:t>
      </w:r>
      <w:r>
        <w:rPr>
          <w:lang w:val="en-AU"/>
        </w:rPr>
        <w:t xml:space="preserve"> </w:t>
      </w:r>
      <w:r w:rsidR="00E91D2D">
        <w:rPr>
          <w:lang w:val="en-AU"/>
        </w:rPr>
        <w:t>their commitment to</w:t>
      </w:r>
      <w:r>
        <w:rPr>
          <w:lang w:val="en-AU"/>
        </w:rPr>
        <w:t xml:space="preserve"> </w:t>
      </w:r>
      <w:r w:rsidR="00E91D2D">
        <w:rPr>
          <w:lang w:val="en-AU"/>
        </w:rPr>
        <w:t>electric vehicles</w:t>
      </w:r>
      <w:r>
        <w:rPr>
          <w:lang w:val="en-AU"/>
        </w:rPr>
        <w:t xml:space="preserve">. </w:t>
      </w:r>
      <w:r w:rsidR="00CE42A1">
        <w:rPr>
          <w:lang w:val="en-AU"/>
        </w:rPr>
        <w:t xml:space="preserve"> </w:t>
      </w:r>
      <w:r>
        <w:rPr>
          <w:lang w:val="en-AU"/>
        </w:rPr>
        <w:t xml:space="preserve">Meanwhile electricity and battery producers </w:t>
      </w:r>
      <w:r w:rsidR="00E91D2D">
        <w:rPr>
          <w:lang w:val="en-AU"/>
        </w:rPr>
        <w:t xml:space="preserve">are </w:t>
      </w:r>
      <w:r>
        <w:rPr>
          <w:lang w:val="en-AU"/>
        </w:rPr>
        <w:t>turn</w:t>
      </w:r>
      <w:r w:rsidR="00E91D2D">
        <w:rPr>
          <w:lang w:val="en-AU"/>
        </w:rPr>
        <w:t>ing</w:t>
      </w:r>
      <w:r>
        <w:rPr>
          <w:lang w:val="en-AU"/>
        </w:rPr>
        <w:t xml:space="preserve"> themselves inside out to keep up with the expected surge in demand</w:t>
      </w:r>
      <w:r w:rsidR="00E91D2D">
        <w:rPr>
          <w:lang w:val="en-AU"/>
        </w:rPr>
        <w:t>.</w:t>
      </w:r>
    </w:p>
    <w:p w:rsidR="00E91D2D" w:rsidRDefault="00314DEB">
      <w:pPr>
        <w:rPr>
          <w:lang w:val="en-AU"/>
        </w:rPr>
      </w:pPr>
      <w:r>
        <w:rPr>
          <w:lang w:val="en-AU"/>
        </w:rPr>
        <w:br/>
        <w:t xml:space="preserve">Australia </w:t>
      </w:r>
      <w:r w:rsidR="00E91D2D">
        <w:rPr>
          <w:lang w:val="en-AU"/>
        </w:rPr>
        <w:t>is currently the</w:t>
      </w:r>
      <w:r>
        <w:rPr>
          <w:lang w:val="en-AU"/>
        </w:rPr>
        <w:t xml:space="preserve"> </w:t>
      </w:r>
      <w:r w:rsidR="00E91D2D">
        <w:rPr>
          <w:lang w:val="en-AU"/>
        </w:rPr>
        <w:t>world’s largest exporter</w:t>
      </w:r>
      <w:r w:rsidR="00E36F5B">
        <w:rPr>
          <w:lang w:val="en-AU"/>
        </w:rPr>
        <w:t xml:space="preserve"> of lithium</w:t>
      </w:r>
      <w:r w:rsidR="00E91D2D">
        <w:rPr>
          <w:lang w:val="en-AU"/>
        </w:rPr>
        <w:t xml:space="preserve">, however is only </w:t>
      </w:r>
      <w:r w:rsidR="0027666B">
        <w:rPr>
          <w:lang w:val="en-AU"/>
        </w:rPr>
        <w:t xml:space="preserve">in </w:t>
      </w:r>
      <w:r w:rsidR="00E91D2D">
        <w:rPr>
          <w:lang w:val="en-AU"/>
        </w:rPr>
        <w:t xml:space="preserve">third </w:t>
      </w:r>
      <w:r w:rsidR="0027666B">
        <w:rPr>
          <w:lang w:val="en-AU"/>
        </w:rPr>
        <w:t xml:space="preserve">place </w:t>
      </w:r>
      <w:r w:rsidR="00E91D2D">
        <w:rPr>
          <w:lang w:val="en-AU"/>
        </w:rPr>
        <w:t xml:space="preserve">in </w:t>
      </w:r>
      <w:r w:rsidR="00CE42A1">
        <w:rPr>
          <w:lang w:val="en-AU"/>
        </w:rPr>
        <w:t>reserves</w:t>
      </w:r>
      <w:r w:rsidR="0027666B">
        <w:rPr>
          <w:lang w:val="en-AU"/>
        </w:rPr>
        <w:t xml:space="preserve"> held</w:t>
      </w:r>
      <w:r w:rsidR="00E91D2D">
        <w:rPr>
          <w:lang w:val="en-AU"/>
        </w:rPr>
        <w:t>.  Argentina has the highest reserves, followed by China, Australia and then Chile.</w:t>
      </w:r>
      <w:r w:rsidR="00E36F5B">
        <w:rPr>
          <w:lang w:val="en-AU"/>
        </w:rPr>
        <w:t xml:space="preserve">  Within Austra</w:t>
      </w:r>
      <w:r w:rsidR="00E91D2D">
        <w:rPr>
          <w:lang w:val="en-AU"/>
        </w:rPr>
        <w:t>l</w:t>
      </w:r>
      <w:r w:rsidR="00E36F5B">
        <w:rPr>
          <w:lang w:val="en-AU"/>
        </w:rPr>
        <w:t>i</w:t>
      </w:r>
      <w:r w:rsidR="00E91D2D">
        <w:rPr>
          <w:lang w:val="en-AU"/>
        </w:rPr>
        <w:t>a WA dominates this market.</w:t>
      </w:r>
    </w:p>
    <w:p w:rsidR="00E91D2D" w:rsidRPr="00E36F5B" w:rsidRDefault="00E91D2D" w:rsidP="00E91D2D">
      <w:pPr>
        <w:spacing w:before="100" w:beforeAutospacing="1" w:after="100" w:afterAutospacing="1"/>
      </w:pPr>
      <w:r w:rsidRPr="00E36F5B">
        <w:t xml:space="preserve">WA has </w:t>
      </w:r>
      <w:r w:rsidR="00E36F5B" w:rsidRPr="00E36F5B">
        <w:t>several notable</w:t>
      </w:r>
      <w:r w:rsidRPr="00E36F5B">
        <w:t xml:space="preserve"> projects</w:t>
      </w:r>
      <w:r w:rsidRPr="00E36F5B">
        <w:rPr>
          <w:rStyle w:val="FootnoteReference"/>
        </w:rPr>
        <w:footnoteReference w:id="2"/>
      </w:r>
      <w:r w:rsidRPr="00E36F5B">
        <w:t xml:space="preserve">.  </w:t>
      </w:r>
    </w:p>
    <w:p w:rsidR="00314DEB" w:rsidRPr="00E91D2D" w:rsidRDefault="00E91D2D" w:rsidP="00E91D2D">
      <w:pPr>
        <w:spacing w:before="100" w:beforeAutospacing="1" w:after="100" w:afterAutospacing="1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eastAsia="Times New Roman"/>
        </w:rPr>
        <w:t>Tali</w:t>
      </w:r>
      <w:r w:rsidR="00E36F5B">
        <w:rPr>
          <w:rFonts w:eastAsia="Times New Roman"/>
        </w:rPr>
        <w:t>son Lithium is</w:t>
      </w:r>
      <w:r>
        <w:rPr>
          <w:rFonts w:eastAsia="Times New Roman"/>
        </w:rPr>
        <w:t xml:space="preserve"> located at Greenbushes which is 250km south of Perth, and 90km south east of Bunbury Port</w:t>
      </w:r>
      <w:r>
        <w:rPr>
          <w:rStyle w:val="FootnoteReference"/>
          <w:rFonts w:eastAsia="Times New Roman"/>
        </w:rPr>
        <w:footnoteReference w:id="3"/>
      </w:r>
      <w:r>
        <w:rPr>
          <w:rFonts w:eastAsia="Times New Roman"/>
        </w:rPr>
        <w:t xml:space="preserve">.  It is currently undergoing a </w:t>
      </w:r>
      <w:r w:rsidR="00314DEB">
        <w:rPr>
          <w:rFonts w:eastAsia="Times New Roman"/>
        </w:rPr>
        <w:t>$340 million expansion</w:t>
      </w:r>
      <w:r>
        <w:rPr>
          <w:rFonts w:eastAsia="Times New Roman"/>
        </w:rPr>
        <w:t xml:space="preserve">.  This is forecast to deliver </w:t>
      </w:r>
      <w:r w:rsidR="00314DEB">
        <w:rPr>
          <w:rFonts w:eastAsia="Times New Roman"/>
        </w:rPr>
        <w:t>200 c</w:t>
      </w:r>
      <w:r>
        <w:rPr>
          <w:rFonts w:eastAsia="Times New Roman"/>
        </w:rPr>
        <w:t xml:space="preserve">onstruction jobs from May 2017 and then </w:t>
      </w:r>
      <w:r w:rsidR="00E36F5B">
        <w:rPr>
          <w:rFonts w:eastAsia="Times New Roman"/>
        </w:rPr>
        <w:t xml:space="preserve">40-60 operational jobs from mid </w:t>
      </w:r>
      <w:r w:rsidR="00314DEB">
        <w:rPr>
          <w:rFonts w:eastAsia="Times New Roman"/>
        </w:rPr>
        <w:t>2019.</w:t>
      </w:r>
    </w:p>
    <w:p w:rsidR="00314DEB" w:rsidRDefault="00E91D2D" w:rsidP="00E91D2D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Tianqi Lithium is spending</w:t>
      </w:r>
      <w:r w:rsidR="00E36F5B">
        <w:rPr>
          <w:rFonts w:eastAsia="Times New Roman"/>
        </w:rPr>
        <w:t xml:space="preserve"> $300</w:t>
      </w:r>
      <w:r w:rsidR="00314DEB">
        <w:rPr>
          <w:rFonts w:eastAsia="Times New Roman"/>
        </w:rPr>
        <w:t xml:space="preserve"> million </w:t>
      </w:r>
      <w:r>
        <w:rPr>
          <w:rFonts w:eastAsia="Times New Roman"/>
        </w:rPr>
        <w:t xml:space="preserve">on a </w:t>
      </w:r>
      <w:r w:rsidR="00314DEB">
        <w:rPr>
          <w:rFonts w:eastAsia="Times New Roman"/>
        </w:rPr>
        <w:t xml:space="preserve">lithium hydroxide plant </w:t>
      </w:r>
      <w:r>
        <w:rPr>
          <w:rFonts w:eastAsia="Times New Roman"/>
        </w:rPr>
        <w:t>and now has the green light for a</w:t>
      </w:r>
      <w:r w:rsidR="00314DEB">
        <w:rPr>
          <w:rFonts w:eastAsia="Times New Roman"/>
        </w:rPr>
        <w:t xml:space="preserve"> $317 million expansion</w:t>
      </w:r>
      <w:r>
        <w:rPr>
          <w:rFonts w:eastAsia="Times New Roman"/>
        </w:rPr>
        <w:t xml:space="preserve"> at Kwinana</w:t>
      </w:r>
      <w:r>
        <w:rPr>
          <w:rStyle w:val="FootnoteReference"/>
          <w:rFonts w:eastAsia="Times New Roman"/>
        </w:rPr>
        <w:footnoteReference w:id="4"/>
      </w:r>
      <w:r>
        <w:rPr>
          <w:rFonts w:eastAsia="Times New Roman"/>
        </w:rPr>
        <w:t>, 38km south of Perth</w:t>
      </w:r>
      <w:r>
        <w:rPr>
          <w:rStyle w:val="FootnoteReference"/>
          <w:rFonts w:eastAsia="Times New Roman"/>
        </w:rPr>
        <w:footnoteReference w:id="5"/>
      </w:r>
      <w:r>
        <w:rPr>
          <w:rFonts w:eastAsia="Times New Roman"/>
        </w:rPr>
        <w:t xml:space="preserve">.  It is forecast to have </w:t>
      </w:r>
      <w:r w:rsidR="00314DEB">
        <w:rPr>
          <w:rFonts w:eastAsia="Times New Roman"/>
        </w:rPr>
        <w:t>500 constru</w:t>
      </w:r>
      <w:r>
        <w:rPr>
          <w:rFonts w:eastAsia="Times New Roman"/>
        </w:rPr>
        <w:t>ction jobs in phase one</w:t>
      </w:r>
      <w:r w:rsidR="00E36F5B">
        <w:rPr>
          <w:rFonts w:eastAsia="Times New Roman"/>
        </w:rPr>
        <w:t>,</w:t>
      </w:r>
      <w:r>
        <w:rPr>
          <w:rFonts w:eastAsia="Times New Roman"/>
        </w:rPr>
        <w:t xml:space="preserve"> that is forecast to</w:t>
      </w:r>
      <w:r w:rsidR="00314DEB">
        <w:rPr>
          <w:rFonts w:eastAsia="Times New Roman"/>
        </w:rPr>
        <w:t xml:space="preserve"> finish l</w:t>
      </w:r>
      <w:r>
        <w:rPr>
          <w:rFonts w:eastAsia="Times New Roman"/>
        </w:rPr>
        <w:t>ate 2018</w:t>
      </w:r>
      <w:r w:rsidR="00E36F5B">
        <w:rPr>
          <w:rFonts w:eastAsia="Times New Roman"/>
        </w:rPr>
        <w:t>,</w:t>
      </w:r>
      <w:r>
        <w:rPr>
          <w:rFonts w:eastAsia="Times New Roman"/>
        </w:rPr>
        <w:t xml:space="preserve"> and phase two </w:t>
      </w:r>
      <w:r w:rsidR="00E36F5B">
        <w:rPr>
          <w:rFonts w:eastAsia="Times New Roman"/>
        </w:rPr>
        <w:t xml:space="preserve">jobs may be similar with its finish </w:t>
      </w:r>
      <w:r>
        <w:rPr>
          <w:rFonts w:eastAsia="Times New Roman"/>
        </w:rPr>
        <w:t>in</w:t>
      </w:r>
      <w:r w:rsidR="00314DEB">
        <w:rPr>
          <w:rFonts w:eastAsia="Times New Roman"/>
        </w:rPr>
        <w:t xml:space="preserve"> late 2019.</w:t>
      </w:r>
    </w:p>
    <w:p w:rsidR="00314DEB" w:rsidRDefault="00314DEB" w:rsidP="00E91D2D">
      <w:p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Altura Resources</w:t>
      </w:r>
      <w:r w:rsidR="00E91D2D">
        <w:rPr>
          <w:rFonts w:eastAsia="Times New Roman"/>
        </w:rPr>
        <w:t xml:space="preserve"> at Pilgangoora is located 120km </w:t>
      </w:r>
      <w:r w:rsidR="00E36F5B">
        <w:rPr>
          <w:rFonts w:eastAsia="Times New Roman"/>
        </w:rPr>
        <w:t xml:space="preserve">west </w:t>
      </w:r>
      <w:r w:rsidR="00E91D2D">
        <w:rPr>
          <w:rFonts w:eastAsia="Times New Roman"/>
        </w:rPr>
        <w:t>from Port Hedland.  Its</w:t>
      </w:r>
      <w:r>
        <w:rPr>
          <w:rFonts w:eastAsia="Times New Roman"/>
        </w:rPr>
        <w:t xml:space="preserve"> $13</w:t>
      </w:r>
      <w:r w:rsidR="00E91D2D">
        <w:rPr>
          <w:rFonts w:eastAsia="Times New Roman"/>
        </w:rPr>
        <w:t xml:space="preserve">9 million project is moving so fast it is reported as </w:t>
      </w:r>
      <w:r w:rsidR="00E36F5B">
        <w:rPr>
          <w:rFonts w:eastAsia="Times New Roman"/>
        </w:rPr>
        <w:t>‘</w:t>
      </w:r>
      <w:r w:rsidR="00E91D2D">
        <w:rPr>
          <w:rFonts w:eastAsia="Times New Roman"/>
        </w:rPr>
        <w:t xml:space="preserve">in the early part of construction with hundreds of jobs from March 2018 </w:t>
      </w:r>
      <w:r>
        <w:rPr>
          <w:rFonts w:eastAsia="Times New Roman"/>
        </w:rPr>
        <w:t xml:space="preserve">and operational from early </w:t>
      </w:r>
      <w:r w:rsidR="00E91D2D">
        <w:rPr>
          <w:rFonts w:eastAsia="Times New Roman"/>
        </w:rPr>
        <w:t>2019</w:t>
      </w:r>
      <w:r w:rsidR="00E36F5B">
        <w:rPr>
          <w:rFonts w:eastAsia="Times New Roman"/>
        </w:rPr>
        <w:t>’</w:t>
      </w:r>
      <w:r>
        <w:rPr>
          <w:rFonts w:eastAsia="Times New Roman"/>
        </w:rPr>
        <w:t>.</w:t>
      </w:r>
    </w:p>
    <w:p w:rsidR="00314DEB" w:rsidRDefault="00314DEB" w:rsidP="00E36F5B">
      <w:pPr>
        <w:spacing w:before="240"/>
        <w:rPr>
          <w:rFonts w:eastAsia="Times New Roman"/>
        </w:rPr>
      </w:pPr>
      <w:r>
        <w:rPr>
          <w:rFonts w:eastAsia="Times New Roman"/>
        </w:rPr>
        <w:t>Pilbara Resources</w:t>
      </w:r>
      <w:r w:rsidR="00E91D2D">
        <w:rPr>
          <w:rFonts w:eastAsia="Times New Roman"/>
        </w:rPr>
        <w:t xml:space="preserve"> also has a project at Pilgangoora with an investment of </w:t>
      </w:r>
      <w:r>
        <w:rPr>
          <w:rFonts w:eastAsia="Times New Roman"/>
        </w:rPr>
        <w:t>$234 m</w:t>
      </w:r>
      <w:r w:rsidR="00E91D2D">
        <w:rPr>
          <w:rFonts w:eastAsia="Times New Roman"/>
        </w:rPr>
        <w:t>illion they forecast they can produce</w:t>
      </w:r>
      <w:r>
        <w:rPr>
          <w:rFonts w:eastAsia="Times New Roman"/>
        </w:rPr>
        <w:t xml:space="preserve"> 2</w:t>
      </w:r>
      <w:r w:rsidR="00E36F5B" w:rsidRPr="00900FB9">
        <w:rPr>
          <w:rFonts w:eastAsia="Times New Roman"/>
        </w:rPr>
        <w:t xml:space="preserve">million tonnes per annum </w:t>
      </w:r>
      <w:r w:rsidR="00E36F5B">
        <w:rPr>
          <w:rFonts w:eastAsia="Times New Roman"/>
        </w:rPr>
        <w:t>(</w:t>
      </w:r>
      <w:r>
        <w:rPr>
          <w:rFonts w:eastAsia="Times New Roman"/>
        </w:rPr>
        <w:t>mtpa</w:t>
      </w:r>
      <w:r w:rsidR="00E36F5B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="00E91D2D">
        <w:rPr>
          <w:rFonts w:eastAsia="Times New Roman"/>
        </w:rPr>
        <w:t>with a</w:t>
      </w:r>
      <w:r>
        <w:rPr>
          <w:rFonts w:eastAsia="Times New Roman"/>
        </w:rPr>
        <w:t xml:space="preserve"> workforce of about 400 at peak construction with </w:t>
      </w:r>
      <w:r w:rsidR="0027666B">
        <w:rPr>
          <w:rFonts w:eastAsia="Times New Roman"/>
        </w:rPr>
        <w:t xml:space="preserve">120 operational </w:t>
      </w:r>
      <w:r>
        <w:rPr>
          <w:rFonts w:eastAsia="Times New Roman"/>
        </w:rPr>
        <w:t>jobs to follow</w:t>
      </w:r>
      <w:r w:rsidR="00E91D2D">
        <w:rPr>
          <w:rStyle w:val="FootnoteReference"/>
          <w:rFonts w:eastAsia="Times New Roman"/>
        </w:rPr>
        <w:footnoteReference w:id="6"/>
      </w:r>
      <w:r>
        <w:rPr>
          <w:rFonts w:eastAsia="Times New Roman"/>
        </w:rPr>
        <w:t xml:space="preserve">. </w:t>
      </w:r>
      <w:r w:rsidR="00E91D2D">
        <w:rPr>
          <w:rFonts w:eastAsia="Times New Roman"/>
        </w:rPr>
        <w:t xml:space="preserve"> The value of the mine </w:t>
      </w:r>
      <w:r w:rsidR="00E36F5B">
        <w:rPr>
          <w:rFonts w:eastAsia="Times New Roman"/>
        </w:rPr>
        <w:t xml:space="preserve">is projected at </w:t>
      </w:r>
      <w:r w:rsidR="00E36F5B">
        <w:rPr>
          <w:rFonts w:eastAsia="Times New Roman"/>
        </w:rPr>
        <w:t xml:space="preserve">A$9.23 billion over an estimated 36-year mine life.  </w:t>
      </w:r>
    </w:p>
    <w:p w:rsidR="00E36F5B" w:rsidRDefault="00E36F5B" w:rsidP="00E36F5B">
      <w:pPr>
        <w:rPr>
          <w:rFonts w:eastAsia="Times New Roman"/>
        </w:rPr>
      </w:pPr>
    </w:p>
    <w:p w:rsidR="00900FB9" w:rsidRPr="00E36F5B" w:rsidRDefault="00E91D2D" w:rsidP="00900FB9">
      <w:pPr>
        <w:rPr>
          <w:rFonts w:eastAsia="Times New Roman"/>
        </w:rPr>
      </w:pPr>
      <w:r w:rsidRPr="00E36F5B">
        <w:rPr>
          <w:rFonts w:eastAsia="Times New Roman"/>
        </w:rPr>
        <w:t>In addition, there is</w:t>
      </w:r>
      <w:r w:rsidR="00144B25">
        <w:rPr>
          <w:rFonts w:eastAsia="Times New Roman"/>
        </w:rPr>
        <w:t xml:space="preserve"> Mt Cattlin at Ravensthorpe on H</w:t>
      </w:r>
      <w:r w:rsidRPr="00E36F5B">
        <w:rPr>
          <w:rFonts w:eastAsia="Times New Roman"/>
        </w:rPr>
        <w:t>ighway 1 between Albany and Esperance</w:t>
      </w:r>
      <w:r w:rsidRPr="00E36F5B">
        <w:rPr>
          <w:rFonts w:eastAsia="Times New Roman"/>
          <w:vertAlign w:val="superscript"/>
        </w:rPr>
        <w:footnoteReference w:id="7"/>
      </w:r>
      <w:r w:rsidRPr="00E36F5B">
        <w:rPr>
          <w:rFonts w:eastAsia="Times New Roman"/>
        </w:rPr>
        <w:t xml:space="preserve">.  </w:t>
      </w:r>
      <w:r w:rsidR="00E36F5B">
        <w:rPr>
          <w:rFonts w:eastAsia="Times New Roman"/>
        </w:rPr>
        <w:t>At full capacity they project 1m</w:t>
      </w:r>
      <w:r w:rsidR="00900FB9" w:rsidRPr="00900FB9">
        <w:rPr>
          <w:rFonts w:eastAsia="Times New Roman"/>
        </w:rPr>
        <w:t>t</w:t>
      </w:r>
      <w:r w:rsidR="00E36F5B">
        <w:rPr>
          <w:rFonts w:eastAsia="Times New Roman"/>
        </w:rPr>
        <w:t xml:space="preserve">pa.  </w:t>
      </w:r>
      <w:r w:rsidR="00144B25">
        <w:rPr>
          <w:rFonts w:eastAsia="Times New Roman"/>
        </w:rPr>
        <w:t>They have commitments to s</w:t>
      </w:r>
      <w:r w:rsidRPr="00E36F5B">
        <w:rPr>
          <w:rFonts w:eastAsia="Times New Roman"/>
        </w:rPr>
        <w:t>hip</w:t>
      </w:r>
      <w:r w:rsidR="00144B25">
        <w:rPr>
          <w:rFonts w:eastAsia="Times New Roman"/>
        </w:rPr>
        <w:t xml:space="preserve"> the</w:t>
      </w:r>
      <w:r w:rsidR="00900FB9" w:rsidRPr="00E36F5B">
        <w:rPr>
          <w:rFonts w:eastAsia="Times New Roman"/>
        </w:rPr>
        <w:t xml:space="preserve"> bulk concentrate to China.</w:t>
      </w:r>
    </w:p>
    <w:p w:rsidR="001A368D" w:rsidRPr="00E36F5B" w:rsidRDefault="001A368D" w:rsidP="001A368D">
      <w:pPr>
        <w:rPr>
          <w:rFonts w:eastAsia="Times New Roman"/>
        </w:rPr>
      </w:pPr>
    </w:p>
    <w:p w:rsidR="006E1432" w:rsidRDefault="00E91D2D" w:rsidP="001A368D">
      <w:pPr>
        <w:rPr>
          <w:rFonts w:eastAsia="Times New Roman"/>
        </w:rPr>
      </w:pPr>
      <w:r w:rsidRPr="00E36F5B">
        <w:rPr>
          <w:rFonts w:eastAsia="Times New Roman"/>
        </w:rPr>
        <w:t>Plus</w:t>
      </w:r>
      <w:r w:rsidR="0027666B">
        <w:rPr>
          <w:rFonts w:eastAsia="Times New Roman"/>
        </w:rPr>
        <w:t>,</w:t>
      </w:r>
      <w:r w:rsidRPr="00E36F5B">
        <w:rPr>
          <w:rFonts w:eastAsia="Times New Roman"/>
        </w:rPr>
        <w:t xml:space="preserve"> the </w:t>
      </w:r>
      <w:r w:rsidR="001A368D" w:rsidRPr="001A368D">
        <w:rPr>
          <w:rFonts w:eastAsia="Times New Roman"/>
        </w:rPr>
        <w:t xml:space="preserve">Mt Marion </w:t>
      </w:r>
      <w:r w:rsidR="006E1432" w:rsidRPr="00E36F5B">
        <w:rPr>
          <w:rFonts w:eastAsia="Times New Roman"/>
        </w:rPr>
        <w:t xml:space="preserve">Lithium project </w:t>
      </w:r>
      <w:r w:rsidRPr="00E36F5B">
        <w:rPr>
          <w:rFonts w:eastAsia="Times New Roman"/>
        </w:rPr>
        <w:t>about 40k south west of Kalgoorlie.  It is jointly owned with one of China’s largest lithium producers.  Annual production is planned at 400,000tonnes per annum</w:t>
      </w:r>
      <w:r w:rsidRPr="00E9121D">
        <w:rPr>
          <w:vertAlign w:val="superscript"/>
        </w:rPr>
        <w:footnoteReference w:id="8"/>
      </w:r>
      <w:r w:rsidRPr="00E36F5B">
        <w:rPr>
          <w:rFonts w:eastAsia="Times New Roman"/>
        </w:rPr>
        <w:t>.</w:t>
      </w:r>
    </w:p>
    <w:p w:rsidR="0027666B" w:rsidRDefault="0027666B" w:rsidP="001A368D">
      <w:pPr>
        <w:rPr>
          <w:rFonts w:eastAsia="Times New Roman"/>
        </w:rPr>
      </w:pPr>
    </w:p>
    <w:p w:rsidR="0027666B" w:rsidRPr="00E36F5B" w:rsidRDefault="0027666B" w:rsidP="001A368D">
      <w:pPr>
        <w:rPr>
          <w:rFonts w:eastAsia="Times New Roman"/>
        </w:rPr>
      </w:pPr>
      <w:r>
        <w:rPr>
          <w:rFonts w:eastAsia="Times New Roman"/>
        </w:rPr>
        <w:t xml:space="preserve">Lithium shipments from Australia have been in an unrefined state leading one group to claim there is $2Tr being left on the table that could be income for Australian miners.  The new Kwinana project </w:t>
      </w:r>
      <w:r w:rsidR="00144B25">
        <w:rPr>
          <w:rFonts w:eastAsia="Times New Roman"/>
        </w:rPr>
        <w:t>has the potential to</w:t>
      </w:r>
      <w:r>
        <w:rPr>
          <w:rFonts w:eastAsia="Times New Roman"/>
        </w:rPr>
        <w:t xml:space="preserve"> change this and lead to further wealth for WA.  </w:t>
      </w:r>
    </w:p>
    <w:p w:rsidR="002A726D" w:rsidRDefault="002A726D" w:rsidP="006E1432">
      <w:pPr>
        <w:rPr>
          <w:rFonts w:ascii="Times New Roman" w:eastAsia="Times New Roman" w:hAnsi="Times New Roman" w:cs="Times New Roman"/>
        </w:rPr>
      </w:pPr>
    </w:p>
    <w:p w:rsidR="006E1432" w:rsidRPr="00E9121D" w:rsidRDefault="00144B25" w:rsidP="001A368D">
      <w:pPr>
        <w:rPr>
          <w:rFonts w:eastAsia="Times New Roman"/>
        </w:rPr>
      </w:pPr>
      <w:r>
        <w:rPr>
          <w:rFonts w:eastAsia="Times New Roman"/>
        </w:rPr>
        <w:t xml:space="preserve">Those being conservative look to population centres over 100,000 people.  </w:t>
      </w:r>
      <w:r w:rsidR="00E9121D" w:rsidRPr="00E9121D">
        <w:rPr>
          <w:rFonts w:eastAsia="Times New Roman"/>
        </w:rPr>
        <w:t xml:space="preserve">Miners spending their </w:t>
      </w:r>
      <w:r w:rsidR="0027666B">
        <w:rPr>
          <w:rFonts w:eastAsia="Times New Roman"/>
        </w:rPr>
        <w:t xml:space="preserve">above average </w:t>
      </w:r>
      <w:r w:rsidR="00E9121D" w:rsidRPr="00E9121D">
        <w:rPr>
          <w:rFonts w:eastAsia="Times New Roman"/>
        </w:rPr>
        <w:t>income</w:t>
      </w:r>
      <w:r w:rsidR="0027666B">
        <w:rPr>
          <w:rFonts w:eastAsia="Times New Roman"/>
        </w:rPr>
        <w:t>s</w:t>
      </w:r>
      <w:r>
        <w:rPr>
          <w:rFonts w:eastAsia="Times New Roman"/>
        </w:rPr>
        <w:t xml:space="preserve"> are </w:t>
      </w:r>
      <w:r w:rsidR="00E9121D" w:rsidRPr="00E9121D">
        <w:rPr>
          <w:rFonts w:eastAsia="Times New Roman"/>
        </w:rPr>
        <w:t xml:space="preserve">more likely </w:t>
      </w:r>
      <w:r w:rsidR="0027666B">
        <w:rPr>
          <w:rFonts w:eastAsia="Times New Roman"/>
        </w:rPr>
        <w:t xml:space="preserve">to </w:t>
      </w:r>
      <w:r>
        <w:rPr>
          <w:rFonts w:eastAsia="Times New Roman"/>
        </w:rPr>
        <w:t>be</w:t>
      </w:r>
      <w:r w:rsidR="0027666B">
        <w:rPr>
          <w:rFonts w:eastAsia="Times New Roman"/>
        </w:rPr>
        <w:t xml:space="preserve"> </w:t>
      </w:r>
      <w:r w:rsidR="00E9121D" w:rsidRPr="00E9121D">
        <w:rPr>
          <w:rFonts w:eastAsia="Times New Roman"/>
        </w:rPr>
        <w:t xml:space="preserve">in </w:t>
      </w:r>
      <w:r w:rsidR="0027666B">
        <w:rPr>
          <w:rFonts w:eastAsia="Times New Roman"/>
        </w:rPr>
        <w:t xml:space="preserve">the </w:t>
      </w:r>
      <w:r w:rsidR="00E9121D" w:rsidRPr="00E9121D">
        <w:rPr>
          <w:rFonts w:eastAsia="Times New Roman"/>
        </w:rPr>
        <w:t xml:space="preserve">Perth </w:t>
      </w:r>
      <w:r w:rsidR="0027666B">
        <w:rPr>
          <w:rFonts w:eastAsia="Times New Roman"/>
        </w:rPr>
        <w:t xml:space="preserve">property market </w:t>
      </w:r>
      <w:r w:rsidR="00E9121D" w:rsidRPr="00E9121D">
        <w:rPr>
          <w:rFonts w:eastAsia="Times New Roman"/>
        </w:rPr>
        <w:t>as fly in fly out talent dominates</w:t>
      </w:r>
      <w:r w:rsidR="0027666B">
        <w:rPr>
          <w:rFonts w:eastAsia="Times New Roman"/>
        </w:rPr>
        <w:t xml:space="preserve">.  </w:t>
      </w:r>
      <w:r>
        <w:rPr>
          <w:rFonts w:eastAsia="Times New Roman"/>
        </w:rPr>
        <w:t xml:space="preserve">Evaluating the shipping routes for the exports from Kwinana, Greeenbushes, Mt Cattlin and Mt Marion ore may highlight suburbs of interest with stronger potential.   </w:t>
      </w:r>
    </w:p>
    <w:p w:rsidR="00E91D2D" w:rsidRPr="001A368D" w:rsidRDefault="00E91D2D">
      <w:pPr>
        <w:rPr>
          <w:lang w:val="en-AU"/>
        </w:rPr>
      </w:pPr>
    </w:p>
    <w:sectPr w:rsidR="00E91D2D" w:rsidRPr="001A368D" w:rsidSect="006D32C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1BC" w:rsidRDefault="00B521BC" w:rsidP="00527518">
      <w:r>
        <w:separator/>
      </w:r>
    </w:p>
  </w:endnote>
  <w:endnote w:type="continuationSeparator" w:id="0">
    <w:p w:rsidR="00B521BC" w:rsidRDefault="00B521BC" w:rsidP="00527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1BC" w:rsidRDefault="00B521BC" w:rsidP="00527518">
      <w:r>
        <w:separator/>
      </w:r>
    </w:p>
  </w:footnote>
  <w:footnote w:type="continuationSeparator" w:id="0">
    <w:p w:rsidR="00B521BC" w:rsidRDefault="00B521BC" w:rsidP="00527518">
      <w:r>
        <w:continuationSeparator/>
      </w:r>
    </w:p>
  </w:footnote>
  <w:footnote w:id="1">
    <w:p w:rsidR="00F84727" w:rsidRPr="00F84727" w:rsidRDefault="00F84727">
      <w:pPr>
        <w:pStyle w:val="FootnoteText"/>
        <w:rPr>
          <w:sz w:val="18"/>
          <w:szCs w:val="18"/>
          <w:lang w:val="en-AU"/>
        </w:rPr>
      </w:pPr>
      <w:r w:rsidRPr="00F84727">
        <w:rPr>
          <w:rStyle w:val="FootnoteReference"/>
          <w:sz w:val="18"/>
          <w:szCs w:val="18"/>
        </w:rPr>
        <w:footnoteRef/>
      </w:r>
      <w:r w:rsidRPr="00F84727">
        <w:rPr>
          <w:sz w:val="18"/>
          <w:szCs w:val="18"/>
        </w:rPr>
        <w:t xml:space="preserve"> https://thenewdaily.com.au/money/finance-news/2018/02/07/bank-profits-productivity-commission/</w:t>
      </w:r>
    </w:p>
  </w:footnote>
  <w:footnote w:id="2">
    <w:p w:rsidR="00E91D2D" w:rsidRPr="00E91D2D" w:rsidRDefault="00E91D2D" w:rsidP="00E91D2D">
      <w:pPr>
        <w:pStyle w:val="FootnoteText"/>
        <w:rPr>
          <w:rStyle w:val="FootnoteReference"/>
          <w:rFonts w:ascii="Helvetica" w:hAnsi="Helvetica"/>
          <w:sz w:val="24"/>
          <w:szCs w:val="24"/>
        </w:rPr>
      </w:pPr>
      <w:r w:rsidRPr="00E91D2D">
        <w:rPr>
          <w:rStyle w:val="FootnoteReference"/>
          <w:rFonts w:ascii="Helvetica" w:hAnsi="Helvetica"/>
          <w:sz w:val="24"/>
          <w:szCs w:val="24"/>
        </w:rPr>
        <w:footnoteRef/>
      </w:r>
      <w:r w:rsidRPr="00E91D2D">
        <w:rPr>
          <w:rStyle w:val="FootnoteReference"/>
          <w:rFonts w:ascii="Helvetica" w:hAnsi="Helvetica"/>
          <w:sz w:val="24"/>
          <w:szCs w:val="24"/>
        </w:rPr>
        <w:t xml:space="preserve"> https://www.miningpeople.com.au/news/lithium-boom-now-a-job-promise-for-wa-mining</w:t>
      </w:r>
    </w:p>
  </w:footnote>
  <w:footnote w:id="3">
    <w:p w:rsidR="00E91D2D" w:rsidRPr="00E91D2D" w:rsidRDefault="00E91D2D" w:rsidP="00E91D2D">
      <w:pPr>
        <w:pStyle w:val="FootnoteText"/>
        <w:rPr>
          <w:rStyle w:val="FootnoteReference"/>
          <w:rFonts w:ascii="Helvetica" w:hAnsi="Helvetica"/>
          <w:sz w:val="24"/>
          <w:szCs w:val="24"/>
        </w:rPr>
      </w:pPr>
      <w:r w:rsidRPr="00E91D2D">
        <w:rPr>
          <w:rStyle w:val="FootnoteReference"/>
          <w:rFonts w:ascii="Helvetica" w:hAnsi="Helvetica"/>
          <w:sz w:val="24"/>
          <w:szCs w:val="24"/>
        </w:rPr>
        <w:footnoteRef/>
      </w:r>
      <w:r w:rsidRPr="00E91D2D">
        <w:rPr>
          <w:rStyle w:val="FootnoteReference"/>
          <w:rFonts w:ascii="Helvetica" w:hAnsi="Helvetica"/>
          <w:sz w:val="24"/>
          <w:szCs w:val="24"/>
        </w:rPr>
        <w:t xml:space="preserve"> http://www.talisonlithium.com/projects/greenbushes</w:t>
      </w:r>
    </w:p>
  </w:footnote>
  <w:footnote w:id="4">
    <w:p w:rsidR="00E91D2D" w:rsidRPr="00E91D2D" w:rsidRDefault="00E91D2D" w:rsidP="00E91D2D">
      <w:pPr>
        <w:pStyle w:val="FootnoteText"/>
        <w:rPr>
          <w:rStyle w:val="FootnoteReference"/>
          <w:rFonts w:ascii="Helvetica" w:hAnsi="Helvetica"/>
          <w:sz w:val="24"/>
          <w:szCs w:val="24"/>
        </w:rPr>
      </w:pPr>
      <w:r w:rsidRPr="00E91D2D">
        <w:rPr>
          <w:rStyle w:val="FootnoteReference"/>
          <w:rFonts w:ascii="Helvetica" w:hAnsi="Helvetica"/>
          <w:sz w:val="24"/>
          <w:szCs w:val="24"/>
        </w:rPr>
        <w:footnoteRef/>
      </w:r>
      <w:r w:rsidRPr="00E91D2D">
        <w:rPr>
          <w:rStyle w:val="FootnoteReference"/>
          <w:rFonts w:ascii="Helvetica" w:hAnsi="Helvetica"/>
          <w:sz w:val="24"/>
          <w:szCs w:val="24"/>
        </w:rPr>
        <w:t xml:space="preserve"> https://en.wikipedia.org/wiki/City_of_Kwinana</w:t>
      </w:r>
    </w:p>
  </w:footnote>
  <w:footnote w:id="5">
    <w:p w:rsidR="00E91D2D" w:rsidRPr="00E91D2D" w:rsidRDefault="00E91D2D" w:rsidP="00E91D2D">
      <w:pPr>
        <w:pStyle w:val="FootnoteText"/>
        <w:rPr>
          <w:rStyle w:val="FootnoteReference"/>
          <w:rFonts w:ascii="Helvetica" w:hAnsi="Helvetica"/>
          <w:sz w:val="24"/>
          <w:szCs w:val="24"/>
        </w:rPr>
      </w:pPr>
      <w:r w:rsidRPr="00E91D2D">
        <w:rPr>
          <w:rStyle w:val="FootnoteReference"/>
          <w:rFonts w:ascii="Helvetica" w:hAnsi="Helvetica"/>
          <w:sz w:val="24"/>
          <w:szCs w:val="24"/>
        </w:rPr>
        <w:footnoteRef/>
      </w:r>
      <w:r w:rsidRPr="00E91D2D">
        <w:rPr>
          <w:rStyle w:val="FootnoteReference"/>
          <w:rFonts w:ascii="Helvetica" w:hAnsi="Helvetica"/>
          <w:sz w:val="24"/>
          <w:szCs w:val="24"/>
        </w:rPr>
        <w:t xml:space="preserve"> http://tianqilithium.com.au/</w:t>
      </w:r>
    </w:p>
  </w:footnote>
  <w:footnote w:id="6">
    <w:p w:rsidR="00E91D2D" w:rsidRPr="00E91D2D" w:rsidRDefault="00E91D2D">
      <w:pPr>
        <w:pStyle w:val="FootnoteText"/>
        <w:rPr>
          <w:rStyle w:val="FootnoteReference"/>
          <w:rFonts w:ascii="Helvetica" w:hAnsi="Helvetica"/>
          <w:sz w:val="24"/>
          <w:szCs w:val="24"/>
        </w:rPr>
      </w:pPr>
      <w:r w:rsidRPr="00E91D2D">
        <w:rPr>
          <w:rStyle w:val="FootnoteReference"/>
          <w:rFonts w:ascii="Helvetica" w:hAnsi="Helvetica"/>
          <w:sz w:val="24"/>
          <w:szCs w:val="24"/>
        </w:rPr>
        <w:footnoteRef/>
      </w:r>
      <w:r w:rsidRPr="00E91D2D">
        <w:rPr>
          <w:rStyle w:val="FootnoteReference"/>
          <w:rFonts w:ascii="Helvetica" w:hAnsi="Helvetica"/>
          <w:sz w:val="24"/>
          <w:szCs w:val="24"/>
        </w:rPr>
        <w:t xml:space="preserve"> </w:t>
      </w:r>
      <w:hyperlink r:id="rId1" w:history="1">
        <w:r w:rsidRPr="00E91D2D">
          <w:rPr>
            <w:rStyle w:val="FootnoteReference"/>
            <w:rFonts w:ascii="Helvetica" w:hAnsi="Helvetica"/>
            <w:sz w:val="24"/>
            <w:szCs w:val="24"/>
          </w:rPr>
          <w:t>http://www.pilbaraminerals.com.au/site/our-business/pilgangoora-lithium-tantalum-project</w:t>
        </w:r>
      </w:hyperlink>
    </w:p>
  </w:footnote>
  <w:footnote w:id="7">
    <w:p w:rsidR="00E91D2D" w:rsidRPr="00E91D2D" w:rsidRDefault="00E91D2D" w:rsidP="00E91D2D">
      <w:pPr>
        <w:pStyle w:val="FootnoteText"/>
        <w:rPr>
          <w:rStyle w:val="FootnoteReference"/>
          <w:rFonts w:ascii="Helvetica" w:hAnsi="Helvetica"/>
          <w:sz w:val="24"/>
          <w:szCs w:val="24"/>
        </w:rPr>
      </w:pPr>
      <w:r w:rsidRPr="00E91D2D">
        <w:rPr>
          <w:rStyle w:val="FootnoteReference"/>
          <w:rFonts w:ascii="Helvetica" w:hAnsi="Helvetica"/>
          <w:sz w:val="24"/>
          <w:szCs w:val="24"/>
        </w:rPr>
        <w:footnoteRef/>
      </w:r>
      <w:r w:rsidRPr="00E91D2D">
        <w:rPr>
          <w:rStyle w:val="FootnoteReference"/>
          <w:rFonts w:ascii="Helvetica" w:hAnsi="Helvetica"/>
          <w:sz w:val="24"/>
          <w:szCs w:val="24"/>
        </w:rPr>
        <w:t xml:space="preserve"> http://www.galaxyresources.com.au/projects/mt-cattlin</w:t>
      </w:r>
    </w:p>
  </w:footnote>
  <w:footnote w:id="8">
    <w:p w:rsidR="00E91D2D" w:rsidRDefault="00E91D2D" w:rsidP="00E91D2D">
      <w:pPr>
        <w:pStyle w:val="FootnoteText"/>
        <w:rPr>
          <w:rFonts w:ascii="Helvetica" w:hAnsi="Helvetica"/>
          <w:sz w:val="24"/>
          <w:szCs w:val="24"/>
        </w:rPr>
      </w:pPr>
      <w:r w:rsidRPr="00E91D2D">
        <w:rPr>
          <w:rStyle w:val="FootnoteReference"/>
          <w:rFonts w:ascii="Helvetica" w:hAnsi="Helvetica"/>
          <w:sz w:val="24"/>
          <w:szCs w:val="24"/>
        </w:rPr>
        <w:footnoteRef/>
      </w:r>
      <w:r w:rsidRPr="00E91D2D">
        <w:rPr>
          <w:rStyle w:val="FootnoteReference"/>
          <w:rFonts w:ascii="Helvetica" w:hAnsi="Helvetica"/>
          <w:sz w:val="24"/>
          <w:szCs w:val="24"/>
        </w:rPr>
        <w:t xml:space="preserve"> </w:t>
      </w:r>
      <w:hyperlink r:id="rId2" w:history="1">
        <w:r w:rsidR="00E9121D" w:rsidRPr="00AE32FF">
          <w:rPr>
            <w:rStyle w:val="Hyperlink"/>
            <w:rFonts w:ascii="Helvetica" w:hAnsi="Helvetica"/>
            <w:sz w:val="24"/>
            <w:szCs w:val="24"/>
            <w:vertAlign w:val="superscript"/>
          </w:rPr>
          <w:t>http://www.mineralresources.com.au/mrl-mining/lithium.html</w:t>
        </w:r>
      </w:hyperlink>
    </w:p>
    <w:p w:rsidR="00E9121D" w:rsidRPr="00E91D2D" w:rsidRDefault="00E9121D" w:rsidP="00E91D2D">
      <w:pPr>
        <w:pStyle w:val="FootnoteText"/>
        <w:rPr>
          <w:rStyle w:val="FootnoteReference"/>
          <w:rFonts w:ascii="Helvetica" w:hAnsi="Helvetica"/>
          <w:sz w:val="24"/>
          <w:szCs w:val="24"/>
        </w:rPr>
      </w:pPr>
      <w:r w:rsidRPr="00E9121D">
        <w:rPr>
          <w:rStyle w:val="FootnoteReference"/>
          <w:rFonts w:ascii="Helvetica" w:hAnsi="Helvetica"/>
          <w:sz w:val="24"/>
          <w:szCs w:val="24"/>
        </w:rPr>
        <w:t>http://www.afr.com/business/mining/why-now-might-be-a-good-time-to-buy-asx-lithium-producers-20170914-gyhysv</w:t>
      </w:r>
    </w:p>
    <w:p w:rsidR="00E91D2D" w:rsidRPr="00E91D2D" w:rsidRDefault="00E91D2D">
      <w:pPr>
        <w:pStyle w:val="FootnoteText"/>
        <w:rPr>
          <w:rStyle w:val="FootnoteReference"/>
          <w:rFonts w:ascii="Helvetica" w:hAnsi="Helvetica"/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0475DB"/>
    <w:multiLevelType w:val="multilevel"/>
    <w:tmpl w:val="5C72D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791566"/>
    <w:multiLevelType w:val="multilevel"/>
    <w:tmpl w:val="42843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68D"/>
    <w:rsid w:val="00070EB3"/>
    <w:rsid w:val="000C7D6A"/>
    <w:rsid w:val="000D3EAA"/>
    <w:rsid w:val="00144B25"/>
    <w:rsid w:val="001A368D"/>
    <w:rsid w:val="0027666B"/>
    <w:rsid w:val="002A726D"/>
    <w:rsid w:val="00314DEB"/>
    <w:rsid w:val="00527518"/>
    <w:rsid w:val="005C5D21"/>
    <w:rsid w:val="006D32C5"/>
    <w:rsid w:val="006E1432"/>
    <w:rsid w:val="00900FB9"/>
    <w:rsid w:val="00A01B99"/>
    <w:rsid w:val="00B521BC"/>
    <w:rsid w:val="00CE42A1"/>
    <w:rsid w:val="00E36F5B"/>
    <w:rsid w:val="00E9121D"/>
    <w:rsid w:val="00E91D2D"/>
    <w:rsid w:val="00F8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AB19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D2D"/>
  </w:style>
  <w:style w:type="paragraph" w:styleId="Heading1">
    <w:name w:val="heading 1"/>
    <w:basedOn w:val="Normal"/>
    <w:next w:val="Normal"/>
    <w:link w:val="Heading1Char"/>
    <w:uiPriority w:val="9"/>
    <w:qFormat/>
    <w:rsid w:val="00E91D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1D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1D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1D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1D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1D2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1D2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1D2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1D2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A368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E91D2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527518"/>
  </w:style>
  <w:style w:type="character" w:customStyle="1" w:styleId="FootnoteTextChar">
    <w:name w:val="Footnote Text Char"/>
    <w:basedOn w:val="DefaultParagraphFont"/>
    <w:link w:val="FootnoteText"/>
    <w:uiPriority w:val="99"/>
    <w:rsid w:val="00527518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52751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14DE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14DEB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91D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1D2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1D2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1D2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1D2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1D2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1D2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1D2D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1D2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1D2D"/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91D2D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1D2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1D2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1D2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91D2D"/>
    <w:rPr>
      <w:i/>
      <w:iCs/>
    </w:rPr>
  </w:style>
  <w:style w:type="paragraph" w:styleId="NoSpacing">
    <w:name w:val="No Spacing"/>
    <w:uiPriority w:val="1"/>
    <w:qFormat/>
    <w:rsid w:val="00E91D2D"/>
  </w:style>
  <w:style w:type="paragraph" w:styleId="ListParagraph">
    <w:name w:val="List Paragraph"/>
    <w:basedOn w:val="Normal"/>
    <w:uiPriority w:val="34"/>
    <w:qFormat/>
    <w:rsid w:val="00E91D2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91D2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91D2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1D2D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1D2D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E91D2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91D2D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E91D2D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91D2D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91D2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1D2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gif"/><Relationship Id="rId8" Type="http://schemas.openxmlformats.org/officeDocument/2006/relationships/hyperlink" Target="https://list.juwai.com/news/2017/12/year-in-review-juwai-top-stories-of-2017?&amp;utm_source=EmarsysEDM&amp;utm_medium=email&amp;utm_campaign=2017+December+Newsletter+%28Industry%29+%E2%80%93+Part+1&amp;utm_content=NiHao+2017.12-Part1%3A+https%3A%2F%2Flist.juwai.com%2Fnews%2F2017%2F12%2Fyear-in-review-juwai-top-stories-of-2017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ilbaraminerals.com.au/site/our-business/pilgangoora-lithium-tantalum-project" TargetMode="External"/><Relationship Id="rId2" Type="http://schemas.openxmlformats.org/officeDocument/2006/relationships/hyperlink" Target="http://www.mineralresources.com.au/mrl-mining/lithium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864</Words>
  <Characters>4930</Characters>
  <Application>Microsoft Macintosh Word</Application>
  <DocSecurity>0</DocSecurity>
  <Lines>41</Lines>
  <Paragraphs>11</Paragraphs>
  <ScaleCrop>false</ScaleCrop>
  <LinksUpToDate>false</LinksUpToDate>
  <CharactersWithSpaces>5783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Moore</dc:creator>
  <cp:keywords/>
  <dc:description/>
  <cp:lastModifiedBy>John Moore</cp:lastModifiedBy>
  <cp:revision>12</cp:revision>
  <dcterms:created xsi:type="dcterms:W3CDTF">2018-02-11T23:26:00Z</dcterms:created>
  <dcterms:modified xsi:type="dcterms:W3CDTF">2018-02-12T22:54:00Z</dcterms:modified>
</cp:coreProperties>
</file>